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87338" w14:textId="77777777" w:rsidR="00A21AED" w:rsidRDefault="00A21AED" w:rsidP="00A21AED">
      <w:pPr>
        <w:pStyle w:val="CaseCaption"/>
      </w:pPr>
      <w:bookmarkStart w:id="0" w:name="CaseType"/>
      <w:r>
        <w:t>SOAH Docket no. 473-24-13127.WS</w:t>
      </w:r>
    </w:p>
    <w:p w14:paraId="1B39227B" w14:textId="77777777" w:rsidR="00A21AED" w:rsidRPr="00564268" w:rsidRDefault="00A21AED" w:rsidP="00A21AED">
      <w:pPr>
        <w:pStyle w:val="CaseCaption"/>
        <w:rPr>
          <w:bCs/>
          <w:color w:val="000000" w:themeColor="text1"/>
        </w:rPr>
      </w:pPr>
      <w:r>
        <w:t xml:space="preserve">PUC </w:t>
      </w:r>
      <w:r w:rsidRPr="00EF7381">
        <w:t>Docket</w:t>
      </w:r>
      <w:r w:rsidRPr="00D92C94">
        <w:t xml:space="preserve"> No</w:t>
      </w:r>
      <w:r w:rsidRPr="008647EB">
        <w:t>.</w:t>
      </w:r>
      <w:bookmarkStart w:id="1" w:name="DocNo"/>
      <w:r>
        <w:t xml:space="preserve"> 54617 </w:t>
      </w:r>
      <w:bookmarkEnd w:id="0"/>
      <w:bookmarkEnd w:id="1"/>
    </w:p>
    <w:tbl>
      <w:tblPr>
        <w:tblW w:w="0" w:type="auto"/>
        <w:tblLook w:val="01E0" w:firstRow="1" w:lastRow="1" w:firstColumn="1" w:lastColumn="1" w:noHBand="0" w:noVBand="0"/>
        <w:tblCaption w:val="Case Caption"/>
      </w:tblPr>
      <w:tblGrid>
        <w:gridCol w:w="4826"/>
        <w:gridCol w:w="336"/>
        <w:gridCol w:w="4198"/>
      </w:tblGrid>
      <w:tr w:rsidR="00A21AED" w:rsidRPr="008647EB" w14:paraId="44FB9D9E" w14:textId="77777777" w:rsidTr="00FC05C6">
        <w:trPr>
          <w:trHeight w:val="576"/>
        </w:trPr>
        <w:tc>
          <w:tcPr>
            <w:tcW w:w="4826" w:type="dxa"/>
          </w:tcPr>
          <w:bookmarkStart w:id="2" w:name="DocumentStyle"/>
          <w:p w14:paraId="79EC9B54" w14:textId="77777777" w:rsidR="00A21AED" w:rsidRPr="00E710D3" w:rsidRDefault="00032AC2" w:rsidP="00FC05C6">
            <w:pPr>
              <w:spacing w:after="0" w:line="240" w:lineRule="auto"/>
              <w:ind w:firstLine="0"/>
              <w:jc w:val="left"/>
              <w:rPr>
                <w:b/>
                <w:szCs w:val="20"/>
              </w:rPr>
            </w:pPr>
            <w:sdt>
              <w:sdtPr>
                <w:rPr>
                  <w:b/>
                  <w:caps/>
                  <w:szCs w:val="20"/>
                </w:rPr>
                <w:alias w:val="Case Style"/>
                <w:tag w:val="CS"/>
                <w:id w:val="-920102863"/>
                <w:placeholder>
                  <w:docPart w:val="C6DC96C07FCF4E6898DDBCD5E5CD65C4"/>
                </w:placeholder>
                <w15:appearance w15:val="hidden"/>
              </w:sdtPr>
              <w:sdtEndPr/>
              <w:sdtContent>
                <w:r w:rsidR="00A21AED">
                  <w:rPr>
                    <w:b/>
                    <w:caps/>
                    <w:szCs w:val="20"/>
                  </w:rPr>
                  <w:t>APPLICATION OF TEXAS WATER UTILITIES, LP AND SOUTHERN HORIZONS DEVELOPMENT, INC. FOR SALE, TRANSFER, OR MERGER OF FACILITIES AND CERTIFICATE RIGHTS IN LIBERTY AND MONTGOMERY COUNTIES</w:t>
                </w:r>
              </w:sdtContent>
            </w:sdt>
            <w:bookmarkEnd w:id="2"/>
            <w:r w:rsidR="00A21AED">
              <w:rPr>
                <w:b/>
                <w:caps/>
                <w:szCs w:val="20"/>
              </w:rPr>
              <w:t xml:space="preserve"> </w:t>
            </w:r>
          </w:p>
        </w:tc>
        <w:tc>
          <w:tcPr>
            <w:tcW w:w="336" w:type="dxa"/>
            <w:noWrap/>
          </w:tcPr>
          <w:p w14:paraId="050FCCC5" w14:textId="77777777" w:rsidR="00A21AED" w:rsidRDefault="00A21AED" w:rsidP="00FC05C6">
            <w:pPr>
              <w:spacing w:after="0" w:line="240" w:lineRule="auto"/>
              <w:ind w:firstLine="0"/>
              <w:rPr>
                <w:b/>
                <w:szCs w:val="20"/>
              </w:rPr>
            </w:pPr>
            <w:r>
              <w:rPr>
                <w:b/>
                <w:szCs w:val="20"/>
              </w:rPr>
              <w:t>§</w:t>
            </w:r>
          </w:p>
          <w:p w14:paraId="4A2F60BB" w14:textId="77777777" w:rsidR="00A21AED" w:rsidRDefault="00A21AED" w:rsidP="00FC05C6">
            <w:pPr>
              <w:spacing w:after="0" w:line="240" w:lineRule="auto"/>
              <w:ind w:firstLine="0"/>
              <w:rPr>
                <w:b/>
                <w:szCs w:val="20"/>
              </w:rPr>
            </w:pPr>
            <w:r>
              <w:rPr>
                <w:b/>
                <w:szCs w:val="20"/>
              </w:rPr>
              <w:t>§</w:t>
            </w:r>
          </w:p>
          <w:p w14:paraId="169EC47F" w14:textId="77777777" w:rsidR="00A21AED" w:rsidRDefault="00A21AED" w:rsidP="00FC05C6">
            <w:pPr>
              <w:spacing w:after="0" w:line="240" w:lineRule="auto"/>
              <w:ind w:firstLine="0"/>
              <w:rPr>
                <w:b/>
                <w:szCs w:val="20"/>
              </w:rPr>
            </w:pPr>
            <w:r>
              <w:rPr>
                <w:b/>
                <w:szCs w:val="20"/>
              </w:rPr>
              <w:t>§</w:t>
            </w:r>
          </w:p>
          <w:p w14:paraId="63E4F874" w14:textId="77777777" w:rsidR="00A21AED" w:rsidRDefault="00A21AED" w:rsidP="00FC05C6">
            <w:pPr>
              <w:spacing w:after="0" w:line="240" w:lineRule="auto"/>
              <w:ind w:firstLine="0"/>
              <w:rPr>
                <w:b/>
                <w:szCs w:val="20"/>
              </w:rPr>
            </w:pPr>
            <w:r>
              <w:rPr>
                <w:b/>
                <w:szCs w:val="20"/>
              </w:rPr>
              <w:t>§</w:t>
            </w:r>
          </w:p>
          <w:p w14:paraId="621C5C72" w14:textId="77777777" w:rsidR="00A21AED" w:rsidRDefault="00A21AED" w:rsidP="00FC05C6">
            <w:pPr>
              <w:spacing w:after="0" w:line="240" w:lineRule="auto"/>
              <w:ind w:firstLine="0"/>
              <w:rPr>
                <w:b/>
                <w:szCs w:val="20"/>
              </w:rPr>
            </w:pPr>
            <w:r>
              <w:rPr>
                <w:b/>
                <w:szCs w:val="20"/>
              </w:rPr>
              <w:t>§</w:t>
            </w:r>
          </w:p>
          <w:p w14:paraId="7513673D" w14:textId="77777777" w:rsidR="00A21AED" w:rsidRDefault="00A21AED" w:rsidP="00FC05C6">
            <w:pPr>
              <w:spacing w:after="0" w:line="240" w:lineRule="auto"/>
              <w:ind w:firstLine="0"/>
              <w:rPr>
                <w:b/>
                <w:szCs w:val="20"/>
              </w:rPr>
            </w:pPr>
            <w:r>
              <w:rPr>
                <w:b/>
                <w:szCs w:val="20"/>
              </w:rPr>
              <w:t>§</w:t>
            </w:r>
          </w:p>
          <w:p w14:paraId="046C8999" w14:textId="77777777" w:rsidR="00A21AED" w:rsidRPr="008647EB" w:rsidRDefault="00A21AED" w:rsidP="00FC05C6">
            <w:pPr>
              <w:spacing w:after="0" w:line="240" w:lineRule="auto"/>
              <w:ind w:firstLine="0"/>
              <w:rPr>
                <w:b/>
                <w:szCs w:val="20"/>
              </w:rPr>
            </w:pPr>
            <w:r>
              <w:rPr>
                <w:b/>
                <w:szCs w:val="20"/>
              </w:rPr>
              <w:t>§</w:t>
            </w:r>
          </w:p>
        </w:tc>
        <w:tc>
          <w:tcPr>
            <w:tcW w:w="4198" w:type="dxa"/>
          </w:tcPr>
          <w:p w14:paraId="52E75E90" w14:textId="77777777" w:rsidR="00A21AED" w:rsidRPr="008647EB" w:rsidRDefault="00A21AED" w:rsidP="00FC05C6">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123AC0F" w14:textId="77777777" w:rsidR="00A21AED" w:rsidRPr="008647EB" w:rsidRDefault="00A21AED" w:rsidP="00FC05C6">
            <w:pPr>
              <w:tabs>
                <w:tab w:val="center" w:pos="4770"/>
                <w:tab w:val="left" w:pos="5400"/>
              </w:tabs>
              <w:spacing w:after="0" w:line="240" w:lineRule="auto"/>
              <w:ind w:firstLine="0"/>
              <w:jc w:val="center"/>
              <w:rPr>
                <w:b/>
                <w:bCs/>
                <w:caps/>
                <w:szCs w:val="20"/>
              </w:rPr>
            </w:pPr>
          </w:p>
          <w:p w14:paraId="208C6496" w14:textId="77777777" w:rsidR="00A21AED" w:rsidRPr="008647EB" w:rsidRDefault="00A21AED" w:rsidP="00FC05C6">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03DA890C" w14:textId="77777777" w:rsidR="00A21AED" w:rsidRDefault="00A21AED" w:rsidP="00A21AED">
      <w:pPr>
        <w:pStyle w:val="CaseCaption"/>
      </w:pPr>
    </w:p>
    <w:p w14:paraId="6883BD01" w14:textId="409EE342" w:rsidR="00374319" w:rsidRPr="00A21AED" w:rsidRDefault="00A21AED" w:rsidP="0009238E">
      <w:pPr>
        <w:spacing w:line="240" w:lineRule="auto"/>
        <w:ind w:firstLine="0"/>
        <w:jc w:val="center"/>
        <w:rPr>
          <w:b/>
          <w:bCs/>
        </w:rPr>
      </w:pPr>
      <w:r w:rsidRPr="00A21AED">
        <w:rPr>
          <w:b/>
          <w:bCs/>
        </w:rPr>
        <w:t xml:space="preserve">COMMISSION STAFF’S OBJECTIONS TO </w:t>
      </w:r>
      <w:r w:rsidR="002A1844">
        <w:rPr>
          <w:b/>
          <w:bCs/>
        </w:rPr>
        <w:t xml:space="preserve">AND MOTION TO STRIKE PORTIONS OF </w:t>
      </w:r>
      <w:r w:rsidRPr="00A21AED">
        <w:rPr>
          <w:b/>
          <w:bCs/>
        </w:rPr>
        <w:t>THE</w:t>
      </w:r>
      <w:r w:rsidR="00F87E29">
        <w:rPr>
          <w:b/>
          <w:bCs/>
        </w:rPr>
        <w:t xml:space="preserve"> </w:t>
      </w:r>
      <w:r w:rsidRPr="00A21AED">
        <w:rPr>
          <w:b/>
          <w:bCs/>
        </w:rPr>
        <w:t>REBUTTAL TESTIMONY OF BRIAN D. BAHR</w:t>
      </w:r>
    </w:p>
    <w:p w14:paraId="20AE5D66" w14:textId="4D27D46D" w:rsidR="00A21AED" w:rsidRDefault="00A21AED" w:rsidP="00A21AED">
      <w:pPr>
        <w:pStyle w:val="Paragraph"/>
        <w:rPr>
          <w:iCs/>
        </w:rPr>
      </w:pPr>
      <w:r w:rsidRPr="005B3918">
        <w:rPr>
          <w:iCs/>
        </w:rPr>
        <w:t xml:space="preserve">On February 2, 2023, </w:t>
      </w:r>
      <w:r w:rsidRPr="005B3918">
        <w:t>Texas Water Utilities, LP</w:t>
      </w:r>
      <w:r w:rsidRPr="005B3918">
        <w:rPr>
          <w:iCs/>
        </w:rPr>
        <w:t xml:space="preserve"> (T</w:t>
      </w:r>
      <w:r w:rsidR="00FF28B2">
        <w:rPr>
          <w:iCs/>
        </w:rPr>
        <w:t>WU</w:t>
      </w:r>
      <w:r w:rsidRPr="005B3918">
        <w:rPr>
          <w:iCs/>
        </w:rPr>
        <w:t xml:space="preserve">) and </w:t>
      </w:r>
      <w:r w:rsidRPr="005B3918">
        <w:t>Southern Horizons Development, Inc.</w:t>
      </w:r>
      <w:r w:rsidRPr="005B3918">
        <w:rPr>
          <w:iCs/>
        </w:rPr>
        <w:t xml:space="preserve"> (collectively, Applicants) filed an application for approval of the sale, transfer, or merger of facilities and certificate rights in Liberty and Montgomery Counties.</w:t>
      </w:r>
      <w:r w:rsidRPr="004578E9">
        <w:rPr>
          <w:iCs/>
        </w:rPr>
        <w:t xml:space="preserve"> </w:t>
      </w:r>
      <w:r>
        <w:rPr>
          <w:iCs/>
        </w:rPr>
        <w:t>On March 5, 2024, this proceeding was referred to the State Office of Administrative Hearings (SOAH).</w:t>
      </w:r>
    </w:p>
    <w:p w14:paraId="1EEDB7BC" w14:textId="168DC339" w:rsidR="00A21AED" w:rsidRDefault="00A21AED" w:rsidP="00A21AED">
      <w:r>
        <w:t xml:space="preserve">Pursuant to SOAH Order No. 3, objections to Applicants’ rebuttal testimony are due on July 2, 2024. Therefore, </w:t>
      </w:r>
      <w:r w:rsidR="002611CA">
        <w:t>the Staff (</w:t>
      </w:r>
      <w:r>
        <w:t>Staf</w:t>
      </w:r>
      <w:r w:rsidR="002611CA">
        <w:t>f) of the Public Utility Commission of Texas</w:t>
      </w:r>
      <w:r w:rsidR="0009238E">
        <w:t>’s</w:t>
      </w:r>
      <w:r w:rsidR="002A1844">
        <w:t xml:space="preserve"> (Commission)</w:t>
      </w:r>
      <w:r>
        <w:t xml:space="preserve"> objections are timely filed. </w:t>
      </w:r>
    </w:p>
    <w:p w14:paraId="5B470E1E" w14:textId="03ACB936" w:rsidR="00A21AED" w:rsidRDefault="00A21AED" w:rsidP="00E80778">
      <w:pPr>
        <w:pStyle w:val="ListParagraph"/>
        <w:numPr>
          <w:ilvl w:val="0"/>
          <w:numId w:val="1"/>
        </w:numPr>
        <w:jc w:val="center"/>
        <w:rPr>
          <w:b/>
          <w:bCs/>
        </w:rPr>
      </w:pPr>
      <w:r w:rsidRPr="00E80778">
        <w:rPr>
          <w:b/>
          <w:bCs/>
        </w:rPr>
        <w:t>STANDARD FOR ADMISSIBILITY OF PRE-FILED WRITTEN TESTIMONY</w:t>
      </w:r>
    </w:p>
    <w:p w14:paraId="61A7B42F" w14:textId="57EF8692" w:rsidR="00E80778" w:rsidRPr="002A1844" w:rsidRDefault="002A1844" w:rsidP="002A1844">
      <w:r w:rsidRPr="002A1844">
        <w:t>The Commission</w:t>
      </w:r>
      <w:r>
        <w:t xml:space="preserve"> rule governing evidence in contested cases provides that “[t]he Texas Rules of Civil Evidence as applied in nonjury civil cases in the courts of Texas shall be followed in contested cases.”</w:t>
      </w:r>
      <w:r>
        <w:rPr>
          <w:rStyle w:val="FootnoteReference"/>
        </w:rPr>
        <w:footnoteReference w:id="1"/>
      </w:r>
      <w:r>
        <w:t xml:space="preserve"> </w:t>
      </w:r>
      <w:proofErr w:type="gramStart"/>
      <w:r>
        <w:t>Pre-filed</w:t>
      </w:r>
      <w:proofErr w:type="gramEnd"/>
      <w:r>
        <w:t xml:space="preserve"> written testimony offered in a contested case is subject to the same evidentiary objections as oral testimony,</w:t>
      </w:r>
      <w:r w:rsidR="00D80F41">
        <w:rPr>
          <w:rStyle w:val="FootnoteReference"/>
        </w:rPr>
        <w:footnoteReference w:id="2"/>
      </w:r>
      <w:r>
        <w:t xml:space="preserve"> and thus subject to the same admissibility standards and objections as are applicable under the Texas Rules of Evidence. </w:t>
      </w:r>
    </w:p>
    <w:p w14:paraId="53448EF8" w14:textId="40F4A058" w:rsidR="00AE3BDC" w:rsidRPr="00C32196" w:rsidRDefault="00A21AED" w:rsidP="00C32196">
      <w:pPr>
        <w:pStyle w:val="ListParagraph"/>
        <w:numPr>
          <w:ilvl w:val="0"/>
          <w:numId w:val="1"/>
        </w:numPr>
        <w:jc w:val="center"/>
        <w:rPr>
          <w:b/>
          <w:bCs/>
        </w:rPr>
      </w:pPr>
      <w:r w:rsidRPr="00E80778">
        <w:rPr>
          <w:b/>
          <w:bCs/>
        </w:rPr>
        <w:t xml:space="preserve">OBJECTIONS TO </w:t>
      </w:r>
      <w:r w:rsidR="002A1844">
        <w:rPr>
          <w:b/>
          <w:bCs/>
        </w:rPr>
        <w:t xml:space="preserve">AND MOTION TO STRIKE PORTIONS OF THE </w:t>
      </w:r>
      <w:r w:rsidRPr="00E80778">
        <w:rPr>
          <w:b/>
          <w:bCs/>
        </w:rPr>
        <w:t>REBUTTAL TESTIMONY</w:t>
      </w:r>
      <w:r w:rsidR="002A1844">
        <w:rPr>
          <w:b/>
          <w:bCs/>
        </w:rPr>
        <w:t xml:space="preserve"> OF BRIAN D. BAHR</w:t>
      </w:r>
      <w:bookmarkStart w:id="3" w:name="_Hlk170808534"/>
    </w:p>
    <w:p w14:paraId="4C67CD84" w14:textId="7FAF2878" w:rsidR="00C32196" w:rsidRDefault="002611CA" w:rsidP="002611CA">
      <w:r>
        <w:lastRenderedPageBreak/>
        <w:t>Staff objects to lines 4:1-13 of the</w:t>
      </w:r>
      <w:r w:rsidR="00C7141E">
        <w:t xml:space="preserve"> </w:t>
      </w:r>
      <w:r>
        <w:t>rebuttal testimony of Brian D. Bahr</w:t>
      </w:r>
      <w:r w:rsidR="00F87E29">
        <w:t>, filed to respond to the direct testimony of James Harville on behalf of Staff,</w:t>
      </w:r>
      <w:r w:rsidR="00F87E29">
        <w:rPr>
          <w:rStyle w:val="FootnoteReference"/>
        </w:rPr>
        <w:footnoteReference w:id="3"/>
      </w:r>
      <w:r>
        <w:t xml:space="preserve"> due to </w:t>
      </w:r>
      <w:r w:rsidR="00FF28B2">
        <w:t>its</w:t>
      </w:r>
      <w:r>
        <w:t xml:space="preserve"> misrepresentation of Mr. Harville’s testimony.</w:t>
      </w:r>
      <w:bookmarkEnd w:id="3"/>
      <w:r>
        <w:t xml:space="preserve"> </w:t>
      </w:r>
      <w:r w:rsidR="00C32196">
        <w:t>Texas Rule of Evidence (TRE) 701 states that lay witnesses may testify in the form of an opinion limited to one that is “(a) rationally based on the witness’s perception; and (b) helpful to clearly understanding the witness’s testimony or to determining a fact in issue.” Similarly, TRE 701 provides that an expert witness “may base an opinion on facts or data in the case that the expert has been made aware of, reviewed, or personally observed.”</w:t>
      </w:r>
      <w:r w:rsidR="009B3B16">
        <w:t xml:space="preserve"> As detailed below, the facts in this proceeding do not support lines 4:1-13 of Mr. Bahr’s rebuttal testimony. As Mr. Bahr’s rebuttal testimony states that he reserves the right to supplement his rebuttal testimony based on discovery responses received for TWU RFI Nos. 1-5, 1-6, 1-7, 1-9, 1-10, 1-14, 1-15, and 1-16,</w:t>
      </w:r>
      <w:r w:rsidR="003F7BB4">
        <w:rPr>
          <w:rStyle w:val="FootnoteReference"/>
        </w:rPr>
        <w:footnoteReference w:id="4"/>
      </w:r>
      <w:r w:rsidR="009B3B16">
        <w:t xml:space="preserve"> </w:t>
      </w:r>
      <w:r w:rsidR="0009238E">
        <w:t>his rebuttal testimony indicates</w:t>
      </w:r>
      <w:r w:rsidR="009B3B16">
        <w:t xml:space="preserve"> that he reviewed Staff’s response to TWU 1-8 before filing his rebuttal testimony</w:t>
      </w:r>
      <w:r w:rsidR="0009238E">
        <w:t>, and therefore is aware of the facts in the proceeding that contradict his rebuttal testimony</w:t>
      </w:r>
      <w:r w:rsidR="009B3B16">
        <w:t xml:space="preserve">. Therefore, Staff objects to and moves to strike lines 4:1-13 of Mr. Bahr’s rebuttal testimony. </w:t>
      </w:r>
    </w:p>
    <w:p w14:paraId="51BD14AE" w14:textId="41140EE1" w:rsidR="00A21AED" w:rsidRDefault="00FF28B2" w:rsidP="002611CA">
      <w:r>
        <w:t>Although T</w:t>
      </w:r>
      <w:r w:rsidR="00F4630B">
        <w:t>WU</w:t>
      </w:r>
      <w:r>
        <w:t xml:space="preserve"> stated that the purpose of its motion to compel Staff’s responses to its </w:t>
      </w:r>
      <w:r w:rsidR="00F87E29">
        <w:t>first request for information (</w:t>
      </w:r>
      <w:r>
        <w:t>RFI</w:t>
      </w:r>
      <w:r w:rsidR="00F87E29">
        <w:t>)</w:t>
      </w:r>
      <w:r>
        <w:t xml:space="preserve"> was so that it may adequately prepare its rebuttal testimony,</w:t>
      </w:r>
      <w:r w:rsidR="00F87E29">
        <w:rPr>
          <w:rStyle w:val="FootnoteReference"/>
        </w:rPr>
        <w:footnoteReference w:id="5"/>
      </w:r>
      <w:r>
        <w:t xml:space="preserve"> </w:t>
      </w:r>
      <w:r w:rsidR="00C32196">
        <w:t>the</w:t>
      </w:r>
      <w:r>
        <w:t xml:space="preserve"> rebuttal testimony </w:t>
      </w:r>
      <w:r w:rsidR="00C32196">
        <w:t xml:space="preserve">of Mr. Bahr </w:t>
      </w:r>
      <w:r w:rsidR="00F87E29">
        <w:t xml:space="preserve">filed on June 20, </w:t>
      </w:r>
      <w:proofErr w:type="gramStart"/>
      <w:r w:rsidR="00F87E29">
        <w:t>2024</w:t>
      </w:r>
      <w:proofErr w:type="gramEnd"/>
      <w:r w:rsidR="00F87E29">
        <w:t xml:space="preserve"> </w:t>
      </w:r>
      <w:r>
        <w:t>directly contradicts Staff’s response</w:t>
      </w:r>
      <w:r w:rsidR="00F87E29">
        <w:t>s</w:t>
      </w:r>
      <w:r>
        <w:t xml:space="preserve"> to TWU’s RFI filed on June 17, 2024</w:t>
      </w:r>
      <w:r w:rsidR="00F87E29">
        <w:t>,</w:t>
      </w:r>
      <w:r w:rsidR="00F87E29">
        <w:rPr>
          <w:rStyle w:val="FootnoteReference"/>
        </w:rPr>
        <w:footnoteReference w:id="6"/>
      </w:r>
      <w:r w:rsidR="00F87E29">
        <w:t xml:space="preserve"> and misconstrues Mr. Harville’s direct testimony. </w:t>
      </w:r>
      <w:r w:rsidR="009B3B16">
        <w:t>Specifically, Mr. Bahr’s rebuttal testimony contradicts Staff’s response to TWU 1-8.</w:t>
      </w:r>
    </w:p>
    <w:p w14:paraId="044744C5" w14:textId="77777777" w:rsidR="00573103" w:rsidRDefault="00573103" w:rsidP="002611CA"/>
    <w:p w14:paraId="144A11AE" w14:textId="3D25F057" w:rsidR="00573103" w:rsidRDefault="00F87E29" w:rsidP="00573103">
      <w:r>
        <w:t>The relevant portions of Mr. Bahr’s rebuttal testimony state as follows:</w:t>
      </w:r>
    </w:p>
    <w:p w14:paraId="5EEBFCB3" w14:textId="77777777" w:rsidR="00573103" w:rsidRDefault="00573103" w:rsidP="00573103">
      <w:pPr>
        <w:spacing w:after="0" w:line="240" w:lineRule="auto"/>
      </w:pPr>
    </w:p>
    <w:p w14:paraId="393611EA" w14:textId="020824E0" w:rsidR="00573103" w:rsidRPr="00573103" w:rsidRDefault="00573103" w:rsidP="00573103">
      <w:pPr>
        <w:ind w:firstLine="0"/>
        <w:rPr>
          <w:b/>
          <w:bCs/>
        </w:rPr>
      </w:pPr>
      <w:r>
        <w:t xml:space="preserve">1 </w:t>
      </w:r>
      <w:r w:rsidRPr="00573103">
        <w:rPr>
          <w:b/>
          <w:bCs/>
        </w:rPr>
        <w:t>Q</w:t>
      </w:r>
      <w:r>
        <w:t>.</w:t>
      </w:r>
      <w:r>
        <w:tab/>
      </w:r>
      <w:r w:rsidRPr="00573103">
        <w:rPr>
          <w:b/>
          <w:bCs/>
        </w:rPr>
        <w:t>WHAT IS THE BASIS FOR MR. HARVILLE'S REVERSAL OF THE</w:t>
      </w:r>
    </w:p>
    <w:p w14:paraId="6A5A1958" w14:textId="0D7B47C5" w:rsidR="00573103" w:rsidRDefault="00573103" w:rsidP="00573103">
      <w:pPr>
        <w:ind w:firstLine="0"/>
      </w:pPr>
      <w:r>
        <w:lastRenderedPageBreak/>
        <w:t xml:space="preserve">2 </w:t>
      </w:r>
      <w:r>
        <w:tab/>
      </w:r>
      <w:proofErr w:type="gramStart"/>
      <w:r w:rsidRPr="00573103">
        <w:rPr>
          <w:b/>
          <w:bCs/>
        </w:rPr>
        <w:t>RECOMMENDATION</w:t>
      </w:r>
      <w:proofErr w:type="gramEnd"/>
      <w:r w:rsidRPr="00573103">
        <w:rPr>
          <w:b/>
          <w:bCs/>
        </w:rPr>
        <w:t xml:space="preserve"> IN HIS TESTIMONY RELATIVE TO HIS PREVIOUS</w:t>
      </w:r>
    </w:p>
    <w:p w14:paraId="1D8B2EEB" w14:textId="4D7D125B" w:rsidR="00573103" w:rsidRDefault="00573103" w:rsidP="00573103">
      <w:pPr>
        <w:ind w:firstLine="0"/>
      </w:pPr>
      <w:r>
        <w:t xml:space="preserve">3 </w:t>
      </w:r>
      <w:r>
        <w:tab/>
      </w:r>
      <w:proofErr w:type="gramStart"/>
      <w:r w:rsidRPr="00573103">
        <w:rPr>
          <w:b/>
          <w:bCs/>
        </w:rPr>
        <w:t>RECOMMENDATION</w:t>
      </w:r>
      <w:proofErr w:type="gramEnd"/>
      <w:r w:rsidRPr="00573103">
        <w:rPr>
          <w:b/>
          <w:bCs/>
        </w:rPr>
        <w:t>?</w:t>
      </w:r>
    </w:p>
    <w:p w14:paraId="7F93C110" w14:textId="523609F8" w:rsidR="00573103" w:rsidRDefault="00573103" w:rsidP="00573103">
      <w:pPr>
        <w:ind w:firstLine="0"/>
      </w:pPr>
      <w:r>
        <w:t xml:space="preserve">4 A. </w:t>
      </w:r>
      <w:r>
        <w:tab/>
        <w:t xml:space="preserve">To support his recommendation, Mr. Harville States that the Villas of </w:t>
      </w:r>
      <w:proofErr w:type="spellStart"/>
      <w:r>
        <w:t>Willowbrook</w:t>
      </w:r>
      <w:proofErr w:type="spellEnd"/>
    </w:p>
    <w:p w14:paraId="62627EE4" w14:textId="7E2951EC" w:rsidR="00573103" w:rsidRDefault="00573103" w:rsidP="00573103">
      <w:pPr>
        <w:ind w:firstLine="0"/>
      </w:pPr>
      <w:r>
        <w:t xml:space="preserve">5 </w:t>
      </w:r>
      <w:r>
        <w:tab/>
        <w:t>rates "could be applied as a contingency to alleviate rate shock for the current customers</w:t>
      </w:r>
    </w:p>
    <w:p w14:paraId="77AAE93C" w14:textId="6ABEB857" w:rsidR="00573103" w:rsidRDefault="00573103" w:rsidP="00573103">
      <w:pPr>
        <w:ind w:firstLine="0"/>
      </w:pPr>
      <w:r>
        <w:t xml:space="preserve">6 </w:t>
      </w:r>
      <w:r>
        <w:tab/>
        <w:t>and ratepayer parties in this docket."</w:t>
      </w:r>
    </w:p>
    <w:p w14:paraId="72C29F06" w14:textId="31B2CAE2" w:rsidR="00573103" w:rsidRPr="00573103" w:rsidRDefault="00573103" w:rsidP="00573103">
      <w:pPr>
        <w:ind w:firstLine="0"/>
        <w:rPr>
          <w:b/>
          <w:bCs/>
        </w:rPr>
      </w:pPr>
      <w:r>
        <w:t xml:space="preserve">7 </w:t>
      </w:r>
      <w:r w:rsidRPr="00573103">
        <w:rPr>
          <w:b/>
          <w:bCs/>
        </w:rPr>
        <w:t>Q</w:t>
      </w:r>
      <w:r>
        <w:t xml:space="preserve">. </w:t>
      </w:r>
      <w:r>
        <w:tab/>
      </w:r>
      <w:r w:rsidRPr="00573103">
        <w:rPr>
          <w:b/>
          <w:bCs/>
        </w:rPr>
        <w:t>DOES MR. HARVILLE PRESENT ANY ANALYSIS TO SUPPORT HIS</w:t>
      </w:r>
    </w:p>
    <w:p w14:paraId="2F5BAFAD" w14:textId="331DFB72" w:rsidR="00573103" w:rsidRPr="00573103" w:rsidRDefault="00573103" w:rsidP="00573103">
      <w:pPr>
        <w:ind w:firstLine="0"/>
        <w:rPr>
          <w:b/>
          <w:bCs/>
        </w:rPr>
      </w:pPr>
      <w:r>
        <w:t xml:space="preserve">8 </w:t>
      </w:r>
      <w:r>
        <w:tab/>
      </w:r>
      <w:proofErr w:type="gramStart"/>
      <w:r w:rsidRPr="00573103">
        <w:rPr>
          <w:b/>
          <w:bCs/>
        </w:rPr>
        <w:t>CHANGE</w:t>
      </w:r>
      <w:proofErr w:type="gramEnd"/>
      <w:r w:rsidRPr="00573103">
        <w:rPr>
          <w:b/>
          <w:bCs/>
        </w:rPr>
        <w:t xml:space="preserve"> IN POSITION?</w:t>
      </w:r>
    </w:p>
    <w:p w14:paraId="6B6F5B7C" w14:textId="204418DC" w:rsidR="00573103" w:rsidRDefault="00573103" w:rsidP="00573103">
      <w:pPr>
        <w:ind w:firstLine="0"/>
      </w:pPr>
      <w:r>
        <w:t xml:space="preserve">9 A. </w:t>
      </w:r>
      <w:r>
        <w:tab/>
        <w:t>Mr. Harville included a billing comparison of the Southern Horizons current rates, the</w:t>
      </w:r>
    </w:p>
    <w:p w14:paraId="2A158382" w14:textId="6F7A7E98" w:rsidR="00573103" w:rsidRDefault="00573103" w:rsidP="00573103">
      <w:pPr>
        <w:ind w:firstLine="0"/>
      </w:pPr>
      <w:r>
        <w:t xml:space="preserve">10 </w:t>
      </w:r>
      <w:r>
        <w:tab/>
        <w:t xml:space="preserve">initial rates requested by Texas Water Utilities, and the Villas of </w:t>
      </w:r>
      <w:proofErr w:type="spellStart"/>
      <w:r>
        <w:t>Willowbrook</w:t>
      </w:r>
      <w:proofErr w:type="spellEnd"/>
      <w:r>
        <w:t xml:space="preserve"> rates at</w:t>
      </w:r>
    </w:p>
    <w:p w14:paraId="1662D597" w14:textId="1F04DB17" w:rsidR="00573103" w:rsidRDefault="00573103" w:rsidP="00573103">
      <w:pPr>
        <w:ind w:firstLine="0"/>
      </w:pPr>
      <w:r>
        <w:t xml:space="preserve">11 </w:t>
      </w:r>
      <w:r>
        <w:tab/>
        <w:t>2,000, 5,000, and 10,000 gallons of usage. He does not provide any narrative analysis</w:t>
      </w:r>
    </w:p>
    <w:p w14:paraId="68A8C0A5" w14:textId="3D410C59" w:rsidR="00573103" w:rsidRDefault="00573103" w:rsidP="00573103">
      <w:pPr>
        <w:ind w:firstLine="0"/>
      </w:pPr>
      <w:r>
        <w:t xml:space="preserve">12 </w:t>
      </w:r>
      <w:r>
        <w:tab/>
        <w:t>interpreting this billing comparison, an explanation of its significance, or a defense of</w:t>
      </w:r>
    </w:p>
    <w:p w14:paraId="142B25CE" w14:textId="4637D81E" w:rsidR="004B64ED" w:rsidRDefault="00573103" w:rsidP="00A21AED">
      <w:pPr>
        <w:ind w:firstLine="0"/>
      </w:pPr>
      <w:r>
        <w:t xml:space="preserve">13 </w:t>
      </w:r>
      <w:r>
        <w:tab/>
        <w:t xml:space="preserve">why his opinion differs from his original recommendation. </w:t>
      </w:r>
      <w:r>
        <w:cr/>
      </w:r>
    </w:p>
    <w:p w14:paraId="5F5BE4DB" w14:textId="1C0558C4" w:rsidR="00A21AED" w:rsidRDefault="00573103" w:rsidP="004B64ED">
      <w:r>
        <w:t>However, Staff’s response to TWU 1-8, filed on June 17, 2024, provides:</w:t>
      </w:r>
    </w:p>
    <w:p w14:paraId="6F430CA8" w14:textId="77777777" w:rsidR="004B64ED" w:rsidRDefault="004B64ED" w:rsidP="004B64ED">
      <w:pPr>
        <w:spacing w:after="0" w:line="240" w:lineRule="auto"/>
        <w:ind w:firstLine="0"/>
      </w:pPr>
    </w:p>
    <w:p w14:paraId="537C4E50" w14:textId="77777777" w:rsidR="004B64ED" w:rsidRDefault="004B64ED" w:rsidP="004B64ED">
      <w:pPr>
        <w:spacing w:after="0"/>
        <w:ind w:left="2160" w:hanging="2160"/>
      </w:pPr>
      <w:r>
        <w:rPr>
          <w:b/>
          <w:bCs/>
          <w:szCs w:val="20"/>
        </w:rPr>
        <w:t>TWU 1</w:t>
      </w:r>
      <w:r w:rsidRPr="007A3408">
        <w:rPr>
          <w:b/>
          <w:bCs/>
          <w:szCs w:val="20"/>
        </w:rPr>
        <w:t>-</w:t>
      </w:r>
      <w:r w:rsidRPr="007A3408">
        <w:rPr>
          <w:b/>
          <w:bCs/>
        </w:rPr>
        <w:t>8</w:t>
      </w:r>
      <w:r>
        <w:tab/>
      </w:r>
      <w:r w:rsidRPr="00307210">
        <w:t>Refer</w:t>
      </w:r>
      <w:r>
        <w:t>ence the direct testimony of James Harville at 12:1—14:2. Please admit or deny that this recommendation differs from the recommendation in the memorandum of James Harville filed with Commission Staff’s Recommendation on Approval of the Transaction on July 17, 2023. If the response is anything other than an unqualified admit, please explain. The applicable section of that memorandum reads:</w:t>
      </w:r>
    </w:p>
    <w:p w14:paraId="62D546FA" w14:textId="77777777" w:rsidR="004B64ED" w:rsidRDefault="004B64ED" w:rsidP="004B64ED">
      <w:pPr>
        <w:spacing w:after="0"/>
        <w:ind w:left="2160" w:hanging="2160"/>
      </w:pPr>
    </w:p>
    <w:p w14:paraId="2B10BE96" w14:textId="77777777" w:rsidR="004B64ED" w:rsidRPr="007A3408" w:rsidRDefault="004B64ED" w:rsidP="004B64ED">
      <w:pPr>
        <w:spacing w:after="0"/>
        <w:ind w:left="2160" w:hanging="2160"/>
        <w:rPr>
          <w:b/>
          <w:bCs/>
          <w:szCs w:val="20"/>
        </w:rPr>
      </w:pPr>
      <w:r>
        <w:rPr>
          <w:b/>
          <w:bCs/>
          <w:szCs w:val="20"/>
        </w:rPr>
        <w:tab/>
      </w:r>
      <w:r w:rsidRPr="007A3408">
        <w:rPr>
          <w:b/>
          <w:bCs/>
          <w:szCs w:val="20"/>
        </w:rPr>
        <w:t xml:space="preserve">3.12.  </w:t>
      </w:r>
      <w:r w:rsidRPr="007A3408">
        <w:rPr>
          <w:b/>
          <w:bCs/>
          <w:i/>
          <w:iCs/>
          <w:szCs w:val="20"/>
        </w:rPr>
        <w:t>Consideration of the probable improvement in service or lowering of cost to consumers (TWC § 13.246(c)(8); 16 TAC §§ 24.227(e)(8), 24.239(h)(5)(H)).</w:t>
      </w:r>
    </w:p>
    <w:p w14:paraId="3C6C4B32" w14:textId="77777777" w:rsidR="004B64ED" w:rsidRDefault="004B64ED" w:rsidP="004B64ED">
      <w:pPr>
        <w:spacing w:after="0"/>
        <w:ind w:left="2160" w:firstLine="0"/>
        <w:rPr>
          <w:szCs w:val="20"/>
        </w:rPr>
      </w:pPr>
      <w:r w:rsidRPr="007A3408">
        <w:rPr>
          <w:szCs w:val="20"/>
        </w:rPr>
        <w:t xml:space="preserve">The customers’ rates will be higher than the current rates for the Southern Horizons. Reliability and quality of water service is expected to improve under Texas Water’s management. </w:t>
      </w:r>
    </w:p>
    <w:p w14:paraId="218D9AAD" w14:textId="77777777" w:rsidR="004B64ED" w:rsidRDefault="004B64ED" w:rsidP="004B64ED">
      <w:pPr>
        <w:spacing w:after="0"/>
        <w:ind w:firstLine="0"/>
        <w:rPr>
          <w:szCs w:val="20"/>
        </w:rPr>
      </w:pPr>
    </w:p>
    <w:p w14:paraId="5073ACB3" w14:textId="77777777" w:rsidR="004B64ED" w:rsidRPr="00147314" w:rsidRDefault="004B64ED" w:rsidP="004B64ED">
      <w:pPr>
        <w:spacing w:after="240"/>
        <w:ind w:left="2160" w:hanging="2160"/>
      </w:pPr>
      <w:r w:rsidRPr="007A3408">
        <w:rPr>
          <w:b/>
          <w:bCs/>
          <w:szCs w:val="20"/>
        </w:rPr>
        <w:t>RESPONSE:</w:t>
      </w:r>
      <w:r>
        <w:rPr>
          <w:b/>
          <w:bCs/>
          <w:szCs w:val="20"/>
        </w:rPr>
        <w:tab/>
      </w:r>
      <w:r w:rsidRPr="00452516">
        <w:t xml:space="preserve">While the </w:t>
      </w:r>
      <w:r>
        <w:t xml:space="preserve">entirety of the </w:t>
      </w:r>
      <w:r w:rsidRPr="00452516">
        <w:t xml:space="preserve">direct testimony of James Harville does not </w:t>
      </w:r>
      <w:r>
        <w:t>duplicate</w:t>
      </w:r>
      <w:r w:rsidRPr="00452516">
        <w:t xml:space="preserve"> the </w:t>
      </w:r>
      <w:r>
        <w:t>entirety of</w:t>
      </w:r>
      <w:r w:rsidRPr="00452516">
        <w:t xml:space="preserve"> the memorandum of James Harville filed with Commission Staff’s Recommendation on Approval of the Transaction filed on July 17, 2023, Staff continues to recommend that if the transaction is approved as proposed, the customers’ rates will be higher than the current rates for Southern Horizons. Reliability and quality of water service are still expected to improve under </w:t>
      </w:r>
      <w:r>
        <w:t>TWU’s</w:t>
      </w:r>
      <w:r w:rsidRPr="00452516">
        <w:t xml:space="preserve"> management.</w:t>
      </w:r>
    </w:p>
    <w:p w14:paraId="00B51E4E" w14:textId="77777777" w:rsidR="004B64ED" w:rsidRDefault="004B64ED" w:rsidP="004B64ED">
      <w:pPr>
        <w:spacing w:after="0" w:line="240" w:lineRule="auto"/>
        <w:ind w:left="2160" w:hanging="2160"/>
        <w:jc w:val="left"/>
        <w:rPr>
          <w:szCs w:val="20"/>
        </w:rPr>
      </w:pPr>
      <w:r>
        <w:rPr>
          <w:szCs w:val="20"/>
        </w:rPr>
        <w:t>Prepared by:</w:t>
      </w:r>
      <w:r>
        <w:rPr>
          <w:szCs w:val="20"/>
        </w:rPr>
        <w:tab/>
        <w:t>Counsel</w:t>
      </w:r>
    </w:p>
    <w:p w14:paraId="3F58508E" w14:textId="77777777" w:rsidR="004B64ED" w:rsidRPr="007A3408" w:rsidRDefault="004B64ED" w:rsidP="004B64ED">
      <w:pPr>
        <w:spacing w:after="0" w:line="240" w:lineRule="auto"/>
        <w:ind w:left="2160" w:hanging="2160"/>
        <w:jc w:val="left"/>
        <w:rPr>
          <w:szCs w:val="20"/>
        </w:rPr>
      </w:pPr>
      <w:r>
        <w:rPr>
          <w:szCs w:val="20"/>
        </w:rPr>
        <w:t>Sponsor:</w:t>
      </w:r>
      <w:r>
        <w:rPr>
          <w:szCs w:val="20"/>
        </w:rPr>
        <w:tab/>
        <w:t xml:space="preserve">James Harville </w:t>
      </w:r>
    </w:p>
    <w:p w14:paraId="2B412AB4" w14:textId="77777777" w:rsidR="006806F9" w:rsidRDefault="006806F9" w:rsidP="00A21AED">
      <w:pPr>
        <w:ind w:firstLine="0"/>
      </w:pPr>
    </w:p>
    <w:p w14:paraId="2D468EDF" w14:textId="16690BD9" w:rsidR="004B64ED" w:rsidRDefault="004B64ED" w:rsidP="004B64ED">
      <w:r>
        <w:t>As evidenced above, Staff’s response to TWU 1-8 c</w:t>
      </w:r>
      <w:r w:rsidR="00C32196">
        <w:t>onfirms</w:t>
      </w:r>
      <w:r>
        <w:t xml:space="preserve"> that Mr. Harville did not “change” his recommendation in his direct testimony. </w:t>
      </w:r>
      <w:r w:rsidR="00C0639B">
        <w:t xml:space="preserve">Staff continues to support the statements made in Staff’s recommendation on approval of the transaction, including those in Mr. Harville’s memorandum attached to Staff’s recommendation. </w:t>
      </w:r>
      <w:r w:rsidR="00C32196">
        <w:t xml:space="preserve">Mr. Bahr is </w:t>
      </w:r>
      <w:r w:rsidR="00C50BB4">
        <w:t>aware of</w:t>
      </w:r>
      <w:r w:rsidR="00C32196">
        <w:t xml:space="preserve"> this fact, as it was included in Staff’s RFI response </w:t>
      </w:r>
      <w:r w:rsidR="00C50BB4">
        <w:t xml:space="preserve">to TWU 1-8, </w:t>
      </w:r>
      <w:r w:rsidR="00C32196">
        <w:t xml:space="preserve">filed prior to Mr. Bahr’s rebuttal testimony. </w:t>
      </w:r>
      <w:r w:rsidR="00935D37">
        <w:t xml:space="preserve">While TWU seems to believe that because the direct testimony of Mr. Harville does not duplicate the entirety of the memorandum of James Harville filed with Staff’s Recommendation on Approval of the Transaction filed on July 17, 2023, Staff has now “reversed” its previous recommendation and “changed its position”, </w:t>
      </w:r>
      <w:r w:rsidR="00C32196">
        <w:t>TWU has not provided any legal authority supporting this restrictive view of testimony. TWU has not provided any legal authority for its conjecture</w:t>
      </w:r>
      <w:r w:rsidR="00935D37">
        <w:t xml:space="preserve"> that a party’s direct testimony can only duplicate what is written in </w:t>
      </w:r>
      <w:proofErr w:type="gramStart"/>
      <w:r w:rsidR="00935D37">
        <w:t>any and all</w:t>
      </w:r>
      <w:proofErr w:type="gramEnd"/>
      <w:r w:rsidR="00935D37">
        <w:t xml:space="preserve"> prior memoranda, </w:t>
      </w:r>
      <w:r w:rsidR="00C32196">
        <w:t>because there is none.</w:t>
      </w:r>
      <w:r w:rsidR="00C50BB4">
        <w:t xml:space="preserve"> Therefore, Staff objects to and moves to strike lines 4:1-13 of Mr. Bahr’s rebuttal testimony. </w:t>
      </w:r>
    </w:p>
    <w:p w14:paraId="4EFE8085" w14:textId="2C80A830" w:rsidR="00A21AED" w:rsidRPr="002A1844" w:rsidRDefault="002A1844" w:rsidP="002A1844">
      <w:pPr>
        <w:pStyle w:val="ListParagraph"/>
        <w:numPr>
          <w:ilvl w:val="0"/>
          <w:numId w:val="1"/>
        </w:numPr>
        <w:jc w:val="center"/>
      </w:pPr>
      <w:r>
        <w:rPr>
          <w:b/>
          <w:bCs/>
        </w:rPr>
        <w:t>CONCLUSION</w:t>
      </w:r>
    </w:p>
    <w:p w14:paraId="6E1BE166" w14:textId="7BAD793D" w:rsidR="002A1844" w:rsidRDefault="002A1844" w:rsidP="002A1844">
      <w:r>
        <w:t xml:space="preserve">For the reasons detailed above, Staff objects </w:t>
      </w:r>
      <w:r w:rsidR="00C50BB4">
        <w:t xml:space="preserve">to </w:t>
      </w:r>
      <w:r>
        <w:t xml:space="preserve">and respectfully moves to strike </w:t>
      </w:r>
      <w:r w:rsidR="00C50BB4">
        <w:t>lines 4:1-13</w:t>
      </w:r>
      <w:r>
        <w:t xml:space="preserve"> of Mr. Bahr’s rebuttal testimony</w:t>
      </w:r>
      <w:r w:rsidR="00C50BB4">
        <w:t>.</w:t>
      </w:r>
      <w:r>
        <w:t xml:space="preserve"> </w:t>
      </w:r>
      <w:r w:rsidR="00C50BB4">
        <w:t xml:space="preserve">Staff respectfully requests the entry of an order consistent with this pleading. </w:t>
      </w:r>
    </w:p>
    <w:p w14:paraId="3CA507B9" w14:textId="77777777" w:rsidR="00A21AED" w:rsidRDefault="00A21AED" w:rsidP="00A21AED">
      <w:pPr>
        <w:ind w:firstLine="0"/>
      </w:pPr>
    </w:p>
    <w:p w14:paraId="2AA94C0D" w14:textId="77777777" w:rsidR="00A21AED" w:rsidRDefault="00A21AED" w:rsidP="00A21AED">
      <w:pPr>
        <w:ind w:firstLine="0"/>
      </w:pPr>
    </w:p>
    <w:p w14:paraId="0CFBC2A0" w14:textId="2F0CED66" w:rsidR="00A21AED" w:rsidRDefault="00A21AED" w:rsidP="00A21AED">
      <w:pPr>
        <w:pStyle w:val="Paragraph"/>
        <w:keepNext/>
        <w:ind w:firstLine="0"/>
      </w:pPr>
      <w:r>
        <w:lastRenderedPageBreak/>
        <w:t xml:space="preserve">Dated: </w:t>
      </w:r>
      <w:r>
        <w:fldChar w:fldCharType="begin"/>
      </w:r>
      <w:r>
        <w:instrText xml:space="preserve"> DATE \@ "MMMM d, yyyy" </w:instrText>
      </w:r>
      <w:r>
        <w:fldChar w:fldCharType="separate"/>
      </w:r>
      <w:r w:rsidR="00032AC2">
        <w:rPr>
          <w:noProof/>
        </w:rPr>
        <w:t>July 2, 2024</w:t>
      </w:r>
      <w:r>
        <w:fldChar w:fldCharType="end"/>
      </w:r>
    </w:p>
    <w:p w14:paraId="31662A00" w14:textId="77777777" w:rsidR="00A21AED" w:rsidRDefault="00A21AED" w:rsidP="00A21AED">
      <w:pPr>
        <w:pStyle w:val="Paragraph"/>
        <w:keepNext/>
        <w:ind w:firstLine="0"/>
      </w:pPr>
    </w:p>
    <w:p w14:paraId="37660C7B" w14:textId="77777777" w:rsidR="00A21AED" w:rsidRDefault="00A21AED" w:rsidP="00A21AED">
      <w:pPr>
        <w:keepNext/>
        <w:spacing w:after="0" w:line="240" w:lineRule="auto"/>
        <w:ind w:left="4320" w:firstLine="0"/>
      </w:pPr>
      <w:r>
        <w:t>Respectfully submitted,</w:t>
      </w:r>
    </w:p>
    <w:p w14:paraId="60F9934A" w14:textId="77777777" w:rsidR="00A21AED" w:rsidRDefault="00A21AED" w:rsidP="00A21AED">
      <w:pPr>
        <w:keepNext/>
        <w:spacing w:after="0" w:line="240" w:lineRule="auto"/>
        <w:ind w:left="4320" w:firstLine="0"/>
      </w:pPr>
    </w:p>
    <w:p w14:paraId="61945818" w14:textId="77777777" w:rsidR="00A21AED" w:rsidRDefault="00A21AED" w:rsidP="00A21AED">
      <w:pPr>
        <w:keepNext/>
        <w:spacing w:after="0" w:line="240" w:lineRule="auto"/>
        <w:ind w:left="4320" w:firstLine="0"/>
        <w:rPr>
          <w:b/>
        </w:rPr>
      </w:pPr>
      <w:r>
        <w:rPr>
          <w:b/>
        </w:rPr>
        <w:t>PUBLIC UTILITY COMMISSION OF TEXAS</w:t>
      </w:r>
    </w:p>
    <w:p w14:paraId="1304853C" w14:textId="77777777" w:rsidR="00A21AED" w:rsidRDefault="00A21AED" w:rsidP="00A21AED">
      <w:pPr>
        <w:keepNext/>
        <w:spacing w:after="0" w:line="240" w:lineRule="auto"/>
        <w:ind w:left="4320" w:firstLine="0"/>
        <w:rPr>
          <w:b/>
        </w:rPr>
      </w:pPr>
      <w:r>
        <w:rPr>
          <w:b/>
        </w:rPr>
        <w:t>LEGAL DIVISION</w:t>
      </w:r>
    </w:p>
    <w:p w14:paraId="2F781395" w14:textId="77777777" w:rsidR="00A21AED" w:rsidRDefault="00A21AED" w:rsidP="00A21AED">
      <w:pPr>
        <w:keepNext/>
        <w:spacing w:after="0" w:line="240" w:lineRule="auto"/>
        <w:ind w:left="4320" w:firstLine="0"/>
        <w:rPr>
          <w:b/>
        </w:rPr>
      </w:pPr>
    </w:p>
    <w:p w14:paraId="2C940B3B" w14:textId="77777777" w:rsidR="00A21AED" w:rsidRPr="00BF12B1" w:rsidRDefault="00A21AED" w:rsidP="00A21AED">
      <w:pPr>
        <w:keepNext/>
        <w:overflowPunct w:val="0"/>
        <w:autoSpaceDE w:val="0"/>
        <w:autoSpaceDN w:val="0"/>
        <w:adjustRightInd w:val="0"/>
        <w:spacing w:after="0" w:line="240" w:lineRule="auto"/>
        <w:ind w:left="4320" w:firstLine="0"/>
        <w:jc w:val="left"/>
        <w:textAlignment w:val="baseline"/>
      </w:pPr>
      <w:r>
        <w:t>Marisa Lopez Wagley</w:t>
      </w:r>
    </w:p>
    <w:p w14:paraId="467F9094" w14:textId="77777777" w:rsidR="00A21AED" w:rsidRPr="00BF12B1" w:rsidRDefault="00A21AED" w:rsidP="00A21AED">
      <w:pPr>
        <w:keepNext/>
        <w:spacing w:after="0" w:line="240" w:lineRule="auto"/>
        <w:ind w:left="4320" w:firstLine="0"/>
        <w:jc w:val="left"/>
      </w:pPr>
      <w:r w:rsidRPr="00BF12B1">
        <w:t xml:space="preserve">Division Director </w:t>
      </w:r>
    </w:p>
    <w:p w14:paraId="26DA55CF" w14:textId="77777777" w:rsidR="00A21AED" w:rsidRPr="00BF12B1" w:rsidRDefault="00A21AED" w:rsidP="00A21AED">
      <w:pPr>
        <w:keepNext/>
        <w:spacing w:after="0" w:line="240" w:lineRule="auto"/>
        <w:ind w:left="4320" w:firstLine="0"/>
        <w:jc w:val="left"/>
      </w:pPr>
    </w:p>
    <w:p w14:paraId="211AAA16" w14:textId="77777777" w:rsidR="00A21AED" w:rsidRPr="00350B98" w:rsidRDefault="00A21AED" w:rsidP="00A21AED">
      <w:pPr>
        <w:overflowPunct w:val="0"/>
        <w:autoSpaceDE w:val="0"/>
        <w:autoSpaceDN w:val="0"/>
        <w:adjustRightInd w:val="0"/>
        <w:spacing w:after="0" w:line="240" w:lineRule="auto"/>
        <w:ind w:left="4320" w:firstLine="0"/>
        <w:jc w:val="left"/>
        <w:textAlignment w:val="baseline"/>
        <w:rPr>
          <w:szCs w:val="20"/>
        </w:rPr>
      </w:pPr>
      <w:r>
        <w:rPr>
          <w:szCs w:val="20"/>
        </w:rPr>
        <w:t>Phillip Lehmann</w:t>
      </w:r>
    </w:p>
    <w:p w14:paraId="16FBD733" w14:textId="77777777" w:rsidR="00A21AED" w:rsidRPr="00350B98" w:rsidRDefault="00A21AED" w:rsidP="00A21AED">
      <w:pPr>
        <w:overflowPunct w:val="0"/>
        <w:autoSpaceDE w:val="0"/>
        <w:autoSpaceDN w:val="0"/>
        <w:adjustRightInd w:val="0"/>
        <w:spacing w:after="0" w:line="240" w:lineRule="auto"/>
        <w:ind w:left="4320" w:firstLine="0"/>
        <w:jc w:val="left"/>
        <w:textAlignment w:val="baseline"/>
        <w:rPr>
          <w:szCs w:val="20"/>
        </w:rPr>
      </w:pPr>
      <w:r w:rsidRPr="00350B98">
        <w:rPr>
          <w:szCs w:val="20"/>
        </w:rPr>
        <w:t>Managing Attorney</w:t>
      </w:r>
    </w:p>
    <w:p w14:paraId="567B84C3" w14:textId="77777777" w:rsidR="00A21AED" w:rsidRPr="00350B98" w:rsidRDefault="00A21AED" w:rsidP="00A21AED">
      <w:pPr>
        <w:overflowPunct w:val="0"/>
        <w:autoSpaceDE w:val="0"/>
        <w:autoSpaceDN w:val="0"/>
        <w:adjustRightInd w:val="0"/>
        <w:spacing w:after="0" w:line="240" w:lineRule="auto"/>
        <w:ind w:left="4320" w:firstLine="0"/>
        <w:jc w:val="left"/>
        <w:textAlignment w:val="baseline"/>
        <w:rPr>
          <w:szCs w:val="20"/>
        </w:rPr>
      </w:pPr>
    </w:p>
    <w:p w14:paraId="5BA10062" w14:textId="77777777" w:rsidR="00A21AED" w:rsidRPr="00350B98" w:rsidRDefault="00A21AED" w:rsidP="00A21AED">
      <w:pPr>
        <w:overflowPunct w:val="0"/>
        <w:autoSpaceDE w:val="0"/>
        <w:autoSpaceDN w:val="0"/>
        <w:adjustRightInd w:val="0"/>
        <w:spacing w:after="0" w:line="240" w:lineRule="auto"/>
        <w:ind w:left="4320" w:firstLine="0"/>
        <w:jc w:val="left"/>
        <w:textAlignment w:val="baseline"/>
      </w:pPr>
    </w:p>
    <w:p w14:paraId="4A989DBF" w14:textId="77777777" w:rsidR="00A21AED" w:rsidRPr="00350B98" w:rsidRDefault="00A21AED" w:rsidP="00A21AED">
      <w:pPr>
        <w:overflowPunct w:val="0"/>
        <w:autoSpaceDE w:val="0"/>
        <w:autoSpaceDN w:val="0"/>
        <w:adjustRightInd w:val="0"/>
        <w:spacing w:after="0" w:line="240" w:lineRule="auto"/>
        <w:ind w:left="4320" w:firstLine="0"/>
        <w:jc w:val="left"/>
        <w:textAlignment w:val="baseline"/>
        <w:rPr>
          <w:u w:val="single"/>
        </w:rPr>
      </w:pPr>
      <w:r w:rsidRPr="00350B98">
        <w:rPr>
          <w:u w:val="single"/>
        </w:rPr>
        <w:t xml:space="preserve">  /s/ </w:t>
      </w:r>
      <w:r w:rsidRPr="00C75004">
        <w:rPr>
          <w:i/>
          <w:iCs/>
          <w:u w:val="single"/>
        </w:rPr>
        <w:t>Kelsey Daugherty</w:t>
      </w:r>
      <w:r w:rsidRPr="00C75004">
        <w:rPr>
          <w:i/>
          <w:iCs/>
          <w:u w:val="single"/>
        </w:rPr>
        <w:tab/>
      </w:r>
      <w:r w:rsidRPr="00350B98">
        <w:rPr>
          <w:u w:val="single"/>
        </w:rPr>
        <w:tab/>
      </w:r>
    </w:p>
    <w:p w14:paraId="5BE882AD" w14:textId="77777777" w:rsidR="00A21AED" w:rsidRPr="00350B98" w:rsidRDefault="00A21AED" w:rsidP="00A21AED">
      <w:pPr>
        <w:spacing w:after="0" w:line="240" w:lineRule="auto"/>
        <w:ind w:left="4320" w:firstLine="0"/>
        <w:rPr>
          <w:snapToGrid w:val="0"/>
          <w:szCs w:val="20"/>
        </w:rPr>
      </w:pPr>
      <w:r>
        <w:rPr>
          <w:snapToGrid w:val="0"/>
          <w:szCs w:val="20"/>
        </w:rPr>
        <w:t>Kelsey Daugherty</w:t>
      </w:r>
    </w:p>
    <w:p w14:paraId="01E9FBF8" w14:textId="77777777" w:rsidR="00A21AED" w:rsidRDefault="00A21AED" w:rsidP="00A21AED">
      <w:pPr>
        <w:spacing w:after="0" w:line="240" w:lineRule="auto"/>
        <w:ind w:left="4320" w:firstLine="0"/>
        <w:rPr>
          <w:snapToGrid w:val="0"/>
          <w:szCs w:val="20"/>
        </w:rPr>
      </w:pPr>
      <w:r w:rsidRPr="00350B98">
        <w:rPr>
          <w:snapToGrid w:val="0"/>
          <w:szCs w:val="20"/>
        </w:rPr>
        <w:t>State Bar No. 2412</w:t>
      </w:r>
      <w:r>
        <w:rPr>
          <w:snapToGrid w:val="0"/>
          <w:szCs w:val="20"/>
        </w:rPr>
        <w:t>5054</w:t>
      </w:r>
    </w:p>
    <w:p w14:paraId="087419C3" w14:textId="77777777" w:rsidR="00A21AED" w:rsidRPr="00350B98" w:rsidRDefault="00A21AED" w:rsidP="00A21AED">
      <w:pPr>
        <w:spacing w:after="0" w:line="240" w:lineRule="auto"/>
        <w:ind w:left="4320" w:firstLine="0"/>
        <w:rPr>
          <w:snapToGrid w:val="0"/>
          <w:szCs w:val="20"/>
        </w:rPr>
      </w:pPr>
      <w:r w:rsidRPr="00350B98">
        <w:rPr>
          <w:snapToGrid w:val="0"/>
          <w:szCs w:val="20"/>
        </w:rPr>
        <w:t>1701 N. Congress Ave.</w:t>
      </w:r>
    </w:p>
    <w:p w14:paraId="690CF7F3" w14:textId="77777777" w:rsidR="00A21AED" w:rsidRPr="00350B98" w:rsidRDefault="00A21AED" w:rsidP="00A21AED">
      <w:pPr>
        <w:spacing w:after="0" w:line="240" w:lineRule="auto"/>
        <w:ind w:left="4320" w:firstLine="0"/>
        <w:rPr>
          <w:snapToGrid w:val="0"/>
          <w:szCs w:val="20"/>
        </w:rPr>
      </w:pPr>
      <w:r w:rsidRPr="00350B98">
        <w:rPr>
          <w:snapToGrid w:val="0"/>
          <w:szCs w:val="20"/>
        </w:rPr>
        <w:t>P.O. Box 13326</w:t>
      </w:r>
    </w:p>
    <w:p w14:paraId="31911942" w14:textId="77777777" w:rsidR="00A21AED" w:rsidRPr="00350B98" w:rsidRDefault="00A21AED" w:rsidP="00A21AED">
      <w:pPr>
        <w:spacing w:after="0" w:line="240" w:lineRule="auto"/>
        <w:ind w:left="4320" w:firstLine="0"/>
        <w:rPr>
          <w:snapToGrid w:val="0"/>
          <w:szCs w:val="20"/>
        </w:rPr>
      </w:pPr>
      <w:r w:rsidRPr="00350B98">
        <w:rPr>
          <w:snapToGrid w:val="0"/>
          <w:szCs w:val="20"/>
        </w:rPr>
        <w:t>Austin, Texas 78711-3326</w:t>
      </w:r>
    </w:p>
    <w:p w14:paraId="2682CA6D" w14:textId="77777777" w:rsidR="00A21AED" w:rsidRPr="00350B98" w:rsidRDefault="00A21AED" w:rsidP="00A21AED">
      <w:pPr>
        <w:spacing w:after="0" w:line="240" w:lineRule="auto"/>
        <w:ind w:left="4320" w:firstLine="0"/>
        <w:rPr>
          <w:snapToGrid w:val="0"/>
          <w:szCs w:val="20"/>
        </w:rPr>
      </w:pPr>
      <w:r w:rsidRPr="00350B98">
        <w:rPr>
          <w:snapToGrid w:val="0"/>
          <w:szCs w:val="20"/>
        </w:rPr>
        <w:t>(512) 936-7</w:t>
      </w:r>
      <w:r>
        <w:rPr>
          <w:snapToGrid w:val="0"/>
          <w:szCs w:val="20"/>
        </w:rPr>
        <w:t>255</w:t>
      </w:r>
    </w:p>
    <w:p w14:paraId="029C7C16" w14:textId="77777777" w:rsidR="00A21AED" w:rsidRPr="00350B98" w:rsidRDefault="00A21AED" w:rsidP="00A21AED">
      <w:pPr>
        <w:spacing w:after="0" w:line="240" w:lineRule="auto"/>
        <w:ind w:left="4320" w:firstLine="0"/>
        <w:rPr>
          <w:snapToGrid w:val="0"/>
          <w:szCs w:val="20"/>
        </w:rPr>
      </w:pPr>
      <w:r w:rsidRPr="00350B98">
        <w:rPr>
          <w:snapToGrid w:val="0"/>
          <w:szCs w:val="20"/>
        </w:rPr>
        <w:t>(512) 936-7268 (fax)</w:t>
      </w:r>
    </w:p>
    <w:p w14:paraId="48510C38" w14:textId="77777777" w:rsidR="00A21AED" w:rsidRPr="00350B98" w:rsidRDefault="00A21AED" w:rsidP="00A21AED">
      <w:pPr>
        <w:spacing w:after="0" w:line="240" w:lineRule="auto"/>
        <w:ind w:left="4320" w:firstLine="0"/>
        <w:rPr>
          <w:snapToGrid w:val="0"/>
          <w:szCs w:val="20"/>
        </w:rPr>
      </w:pPr>
      <w:r>
        <w:rPr>
          <w:snapToGrid w:val="0"/>
          <w:szCs w:val="20"/>
        </w:rPr>
        <w:t>Kelsey</w:t>
      </w:r>
      <w:r w:rsidRPr="00350B98">
        <w:rPr>
          <w:snapToGrid w:val="0"/>
          <w:szCs w:val="20"/>
        </w:rPr>
        <w:t>.</w:t>
      </w:r>
      <w:r>
        <w:rPr>
          <w:snapToGrid w:val="0"/>
          <w:szCs w:val="20"/>
        </w:rPr>
        <w:t>Daugherty</w:t>
      </w:r>
      <w:r w:rsidRPr="00350B98">
        <w:rPr>
          <w:snapToGrid w:val="0"/>
          <w:szCs w:val="20"/>
        </w:rPr>
        <w:t>@puc.texas.gov</w:t>
      </w:r>
    </w:p>
    <w:p w14:paraId="684E8AF9" w14:textId="77777777" w:rsidR="00A21AED" w:rsidRPr="00BE511C" w:rsidRDefault="00A21AED" w:rsidP="00A21AED">
      <w:pPr>
        <w:spacing w:after="0" w:line="240" w:lineRule="auto"/>
        <w:ind w:firstLine="0"/>
        <w:rPr>
          <w:szCs w:val="20"/>
        </w:rPr>
      </w:pPr>
    </w:p>
    <w:p w14:paraId="28366001" w14:textId="77777777" w:rsidR="00A21AED" w:rsidRPr="00BE511C" w:rsidRDefault="00A21AED" w:rsidP="00A21AED">
      <w:pPr>
        <w:spacing w:after="0" w:line="240" w:lineRule="auto"/>
        <w:ind w:firstLine="0"/>
        <w:rPr>
          <w:szCs w:val="20"/>
        </w:rPr>
      </w:pPr>
    </w:p>
    <w:p w14:paraId="490DCF45" w14:textId="77777777" w:rsidR="00A21AED" w:rsidRDefault="00A21AED" w:rsidP="00A21AED">
      <w:pPr>
        <w:pStyle w:val="CaseCaption"/>
      </w:pPr>
      <w:r>
        <w:t>SOAH Docket no. 473-24-13127.WS</w:t>
      </w:r>
    </w:p>
    <w:p w14:paraId="31D559CB" w14:textId="77777777" w:rsidR="00A21AED" w:rsidRPr="00564268" w:rsidRDefault="00A21AED" w:rsidP="00A21AED">
      <w:pPr>
        <w:pStyle w:val="CaseCaption"/>
        <w:rPr>
          <w:bCs/>
          <w:color w:val="000000" w:themeColor="text1"/>
        </w:rPr>
      </w:pPr>
      <w:r>
        <w:t xml:space="preserve">PUC </w:t>
      </w:r>
      <w:r w:rsidRPr="00EF7381">
        <w:t>Docket</w:t>
      </w:r>
      <w:r w:rsidRPr="00D92C94">
        <w:t xml:space="preserve"> No</w:t>
      </w:r>
      <w:r w:rsidRPr="008647EB">
        <w:t>.</w:t>
      </w:r>
      <w:r>
        <w:t xml:space="preserve"> 54617 </w:t>
      </w:r>
    </w:p>
    <w:p w14:paraId="60E27E69" w14:textId="77777777" w:rsidR="00A21AED" w:rsidRDefault="00A21AED" w:rsidP="00A21AED">
      <w:pPr>
        <w:pStyle w:val="CaseCaption"/>
      </w:pPr>
    </w:p>
    <w:p w14:paraId="6C186ECA" w14:textId="77777777" w:rsidR="00A21AED" w:rsidRPr="00057149" w:rsidRDefault="00A21AED" w:rsidP="00A21AED">
      <w:pPr>
        <w:pStyle w:val="CaseCaption"/>
        <w:rPr>
          <w:b w:val="0"/>
        </w:rPr>
      </w:pPr>
      <w:r w:rsidRPr="00057149">
        <w:t>CERTIFICATE OF SERVICE</w:t>
      </w:r>
    </w:p>
    <w:p w14:paraId="005F23C3" w14:textId="6C2D7BC4" w:rsidR="00A21AED" w:rsidRPr="00F55D87" w:rsidRDefault="00A21AED" w:rsidP="00A21AED">
      <w:pPr>
        <w:pStyle w:val="Paragraphdouble"/>
        <w:spacing w:line="360" w:lineRule="auto"/>
      </w:pPr>
      <w:r w:rsidRPr="002F2221">
        <w:t xml:space="preserve">I certify that, unless otherwise ordered by the presiding officer, notice of the filing of this document </w:t>
      </w:r>
      <w:r>
        <w:t>will be</w:t>
      </w:r>
      <w:r w:rsidRPr="002F2221">
        <w:t xml:space="preserve"> provided to all parties of record via electronic mail on </w:t>
      </w:r>
      <w:r>
        <w:fldChar w:fldCharType="begin"/>
      </w:r>
      <w:r>
        <w:instrText xml:space="preserve"> DATE \@ "MMMM d, yyyy" </w:instrText>
      </w:r>
      <w:r>
        <w:fldChar w:fldCharType="separate"/>
      </w:r>
      <w:r w:rsidR="00032AC2">
        <w:rPr>
          <w:noProof/>
        </w:rPr>
        <w:t>July 2, 2024</w:t>
      </w:r>
      <w:r>
        <w:fldChar w:fldCharType="end"/>
      </w:r>
      <w:r w:rsidRPr="002F2221">
        <w:t xml:space="preserve">, in accordance with the </w:t>
      </w:r>
      <w:r>
        <w:t xml:space="preserve">Second </w:t>
      </w:r>
      <w:r w:rsidRPr="002F2221">
        <w:t xml:space="preserve">Order Suspending Rules, </w:t>
      </w:r>
      <w:r>
        <w:t>filed</w:t>
      </w:r>
      <w:r w:rsidRPr="002F2221">
        <w:t xml:space="preserve"> in Project No. 50664</w:t>
      </w:r>
      <w:r w:rsidRPr="005161D8">
        <w:t>.</w:t>
      </w:r>
      <w:r w:rsidRPr="00F55D87">
        <w:t xml:space="preserve"> </w:t>
      </w:r>
    </w:p>
    <w:p w14:paraId="5CEBA45D" w14:textId="77777777" w:rsidR="00A21AED" w:rsidRPr="00057149" w:rsidRDefault="00A21AED" w:rsidP="00A21AED">
      <w:pPr>
        <w:keepNext/>
        <w:overflowPunct w:val="0"/>
        <w:autoSpaceDE w:val="0"/>
        <w:autoSpaceDN w:val="0"/>
        <w:adjustRightInd w:val="0"/>
        <w:spacing w:after="0" w:line="240" w:lineRule="auto"/>
        <w:textAlignment w:val="baseline"/>
        <w:rPr>
          <w:color w:val="0D0D0D"/>
        </w:rPr>
      </w:pPr>
    </w:p>
    <w:p w14:paraId="570D6A4A" w14:textId="77777777" w:rsidR="00A21AED" w:rsidRPr="00FD2904" w:rsidRDefault="00A21AED" w:rsidP="00A21AED">
      <w:pPr>
        <w:overflowPunct w:val="0"/>
        <w:autoSpaceDE w:val="0"/>
        <w:autoSpaceDN w:val="0"/>
        <w:adjustRightInd w:val="0"/>
        <w:spacing w:after="0" w:line="240" w:lineRule="auto"/>
        <w:ind w:left="4320" w:firstLine="0"/>
        <w:jc w:val="left"/>
        <w:textAlignment w:val="baseline"/>
        <w:rPr>
          <w:u w:val="single"/>
        </w:rPr>
      </w:pPr>
      <w:r>
        <w:rPr>
          <w:u w:val="single"/>
        </w:rPr>
        <w:t xml:space="preserve">  /</w:t>
      </w:r>
      <w:r w:rsidRPr="00FD2904">
        <w:rPr>
          <w:u w:val="single"/>
        </w:rPr>
        <w:t xml:space="preserve">s/ </w:t>
      </w:r>
      <w:r w:rsidRPr="00C75004">
        <w:rPr>
          <w:i/>
          <w:iCs/>
          <w:u w:val="single"/>
        </w:rPr>
        <w:t>Kelsey Daugherty</w:t>
      </w:r>
      <w:r w:rsidRPr="00C75004">
        <w:rPr>
          <w:i/>
          <w:iCs/>
          <w:u w:val="single"/>
        </w:rPr>
        <w:tab/>
      </w:r>
      <w:r>
        <w:rPr>
          <w:u w:val="single"/>
        </w:rPr>
        <w:tab/>
      </w:r>
    </w:p>
    <w:p w14:paraId="38B36D54" w14:textId="77777777" w:rsidR="00A21AED" w:rsidRPr="0082375E" w:rsidRDefault="00A21AED" w:rsidP="00A21AED">
      <w:pPr>
        <w:spacing w:after="0" w:line="240" w:lineRule="auto"/>
        <w:ind w:left="4320" w:firstLine="0"/>
        <w:rPr>
          <w:snapToGrid w:val="0"/>
        </w:rPr>
      </w:pPr>
      <w:r>
        <w:rPr>
          <w:snapToGrid w:val="0"/>
        </w:rPr>
        <w:t>Kelsey Daugherty</w:t>
      </w:r>
    </w:p>
    <w:p w14:paraId="5675FE30" w14:textId="77777777" w:rsidR="00A21AED" w:rsidRPr="00893EAC" w:rsidRDefault="00A21AED" w:rsidP="00A21AED">
      <w:pPr>
        <w:pStyle w:val="CaseCaption"/>
        <w:rPr>
          <w:szCs w:val="20"/>
          <w:u w:val="single"/>
        </w:rPr>
      </w:pPr>
    </w:p>
    <w:p w14:paraId="73513218" w14:textId="77777777" w:rsidR="00A21AED" w:rsidRDefault="00A21AED" w:rsidP="00A21AED">
      <w:pPr>
        <w:ind w:firstLine="0"/>
      </w:pPr>
    </w:p>
    <w:sectPr w:rsidR="00A21AED" w:rsidSect="00A21AED">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FC35E" w14:textId="77777777" w:rsidR="00A21AED" w:rsidRDefault="00A21AED" w:rsidP="00A21AED">
      <w:pPr>
        <w:spacing w:after="0" w:line="240" w:lineRule="auto"/>
      </w:pPr>
      <w:r>
        <w:separator/>
      </w:r>
    </w:p>
  </w:endnote>
  <w:endnote w:type="continuationSeparator" w:id="0">
    <w:p w14:paraId="4206E892" w14:textId="77777777" w:rsidR="00A21AED" w:rsidRDefault="00A21AED" w:rsidP="00A21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76875" w14:textId="77777777" w:rsidR="00A21AED" w:rsidRDefault="00A21AED" w:rsidP="00A21AED">
      <w:pPr>
        <w:spacing w:after="0" w:line="240" w:lineRule="auto"/>
      </w:pPr>
      <w:r>
        <w:separator/>
      </w:r>
    </w:p>
  </w:footnote>
  <w:footnote w:type="continuationSeparator" w:id="0">
    <w:p w14:paraId="5BAF3327" w14:textId="77777777" w:rsidR="00A21AED" w:rsidRDefault="00A21AED" w:rsidP="00A21AED">
      <w:pPr>
        <w:spacing w:after="0" w:line="240" w:lineRule="auto"/>
      </w:pPr>
      <w:r>
        <w:continuationSeparator/>
      </w:r>
    </w:p>
  </w:footnote>
  <w:footnote w:id="1">
    <w:p w14:paraId="0D14C81B" w14:textId="313092EA" w:rsidR="002A1844" w:rsidRDefault="002A1844" w:rsidP="002A1844">
      <w:pPr>
        <w:pStyle w:val="FootnoteText"/>
        <w:spacing w:after="120"/>
      </w:pPr>
      <w:r>
        <w:rPr>
          <w:rStyle w:val="FootnoteReference"/>
        </w:rPr>
        <w:footnoteRef/>
      </w:r>
      <w:r>
        <w:t xml:space="preserve">  16 Texas Administrative Code (TAC) § 22.221(a).</w:t>
      </w:r>
    </w:p>
  </w:footnote>
  <w:footnote w:id="2">
    <w:p w14:paraId="1B0A7AB7" w14:textId="6BBB5073" w:rsidR="00D80F41" w:rsidRDefault="00D80F41" w:rsidP="00961FA7">
      <w:pPr>
        <w:pStyle w:val="FootnoteText"/>
        <w:spacing w:after="120"/>
      </w:pPr>
      <w:r>
        <w:rPr>
          <w:rStyle w:val="FootnoteReference"/>
        </w:rPr>
        <w:footnoteRef/>
      </w:r>
      <w:r>
        <w:t xml:space="preserve">  16 TAC § 22.225(b).</w:t>
      </w:r>
    </w:p>
  </w:footnote>
  <w:footnote w:id="3">
    <w:p w14:paraId="20F9A0EB" w14:textId="22D9B8EB" w:rsidR="00F87E29" w:rsidRDefault="00F87E29" w:rsidP="00F87E29">
      <w:pPr>
        <w:pStyle w:val="FootnoteText"/>
        <w:spacing w:after="120"/>
      </w:pPr>
      <w:r>
        <w:rPr>
          <w:rStyle w:val="FootnoteReference"/>
        </w:rPr>
        <w:footnoteRef/>
      </w:r>
      <w:r>
        <w:t xml:space="preserve">  Redacted Rebuttal Testimony of Brian D. Bahr on behalf of Texas Water Utilities, L.P. at 2 (June 20, 2024) (Bahr Redacted Rebuttal).</w:t>
      </w:r>
    </w:p>
  </w:footnote>
  <w:footnote w:id="4">
    <w:p w14:paraId="7DB08A63" w14:textId="67C1405B" w:rsidR="003F7BB4" w:rsidRDefault="003F7BB4" w:rsidP="003F7BB4">
      <w:pPr>
        <w:pStyle w:val="FootnoteText"/>
        <w:spacing w:after="120"/>
      </w:pPr>
      <w:r>
        <w:rPr>
          <w:rStyle w:val="FootnoteReference"/>
        </w:rPr>
        <w:footnoteRef/>
      </w:r>
      <w:r>
        <w:t xml:space="preserve">  Bahr Rebuttal at 10.</w:t>
      </w:r>
    </w:p>
  </w:footnote>
  <w:footnote w:id="5">
    <w:p w14:paraId="6727EB32" w14:textId="1855C9F7" w:rsidR="00F87E29" w:rsidRDefault="00F87E29" w:rsidP="00F87E29">
      <w:pPr>
        <w:pStyle w:val="FootnoteText"/>
        <w:spacing w:after="120"/>
      </w:pPr>
      <w:r>
        <w:rPr>
          <w:rStyle w:val="FootnoteReference"/>
        </w:rPr>
        <w:footnoteRef/>
      </w:r>
      <w:r>
        <w:t xml:space="preserve">  Texas Water Utilities, L.P.’s Motion to Compel Discovery Responses from Commission Staff at 1 (June 13, 2024</w:t>
      </w:r>
      <w:r w:rsidR="00CC7CAF">
        <w:t>)</w:t>
      </w:r>
      <w:r>
        <w:t>.</w:t>
      </w:r>
    </w:p>
  </w:footnote>
  <w:footnote w:id="6">
    <w:p w14:paraId="3F2E87B4" w14:textId="1F19D47F" w:rsidR="00F87E29" w:rsidRDefault="00F87E29">
      <w:pPr>
        <w:pStyle w:val="FootnoteText"/>
      </w:pPr>
      <w:r>
        <w:rPr>
          <w:rStyle w:val="FootnoteReference"/>
        </w:rPr>
        <w:footnoteRef/>
      </w:r>
      <w:r>
        <w:t xml:space="preserve">  </w:t>
      </w:r>
      <w:r w:rsidRPr="00FF28B2">
        <w:rPr>
          <w:i/>
          <w:iCs/>
        </w:rPr>
        <w:t xml:space="preserve">See </w:t>
      </w:r>
      <w:r>
        <w:t>Commission Staff’s Response to Texas Water Utilities, LP’s First Request for Information to Commission Staff Question Nos. TWU 1-1 through 1-17 and Response to Texas Water Utilities, LP’s Motion to Compel at Response to TWU 1-8 (June 17,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sz w:val="20"/>
      </w:rPr>
      <w:id w:val="-1318336367"/>
      <w:docPartObj>
        <w:docPartGallery w:val="Page Numbers (Top of Page)"/>
        <w:docPartUnique/>
      </w:docPartObj>
    </w:sdtPr>
    <w:sdtEndPr>
      <w:rPr>
        <w:szCs w:val="20"/>
      </w:rPr>
    </w:sdtEndPr>
    <w:sdtContent>
      <w:p w14:paraId="6A413707" w14:textId="77777777" w:rsidR="00A21AED" w:rsidRPr="002B45CD" w:rsidRDefault="00A21AED" w:rsidP="00A21AED">
        <w:pPr>
          <w:tabs>
            <w:tab w:val="center" w:pos="4680"/>
            <w:tab w:val="right" w:pos="9360"/>
          </w:tabs>
          <w:jc w:val="right"/>
          <w:rPr>
            <w:b/>
            <w:sz w:val="20"/>
            <w:szCs w:val="20"/>
          </w:rPr>
        </w:pPr>
        <w:r w:rsidRPr="002B45CD">
          <w:rPr>
            <w:b/>
            <w:sz w:val="20"/>
            <w:szCs w:val="20"/>
          </w:rPr>
          <w:t xml:space="preserve">Page </w:t>
        </w:r>
        <w:r w:rsidRPr="002B45CD">
          <w:rPr>
            <w:b/>
            <w:sz w:val="20"/>
            <w:szCs w:val="20"/>
          </w:rPr>
          <w:fldChar w:fldCharType="begin"/>
        </w:r>
        <w:r w:rsidRPr="002B45CD">
          <w:rPr>
            <w:b/>
            <w:sz w:val="20"/>
            <w:szCs w:val="20"/>
          </w:rPr>
          <w:instrText xml:space="preserve"> PAGE </w:instrText>
        </w:r>
        <w:r w:rsidRPr="002B45CD">
          <w:rPr>
            <w:b/>
            <w:sz w:val="20"/>
            <w:szCs w:val="20"/>
          </w:rPr>
          <w:fldChar w:fldCharType="separate"/>
        </w:r>
        <w:r>
          <w:rPr>
            <w:b/>
            <w:sz w:val="20"/>
            <w:szCs w:val="20"/>
          </w:rPr>
          <w:t>2</w:t>
        </w:r>
        <w:r w:rsidRPr="002B45CD">
          <w:rPr>
            <w:b/>
            <w:sz w:val="20"/>
            <w:szCs w:val="20"/>
          </w:rPr>
          <w:fldChar w:fldCharType="end"/>
        </w:r>
        <w:r w:rsidRPr="002B45CD">
          <w:rPr>
            <w:b/>
            <w:sz w:val="20"/>
            <w:szCs w:val="20"/>
          </w:rPr>
          <w:t xml:space="preserve"> of </w:t>
        </w:r>
        <w:r w:rsidRPr="002B45CD">
          <w:rPr>
            <w:b/>
            <w:sz w:val="20"/>
            <w:szCs w:val="20"/>
          </w:rPr>
          <w:fldChar w:fldCharType="begin"/>
        </w:r>
        <w:r w:rsidRPr="002B45CD">
          <w:rPr>
            <w:b/>
            <w:sz w:val="20"/>
            <w:szCs w:val="20"/>
          </w:rPr>
          <w:instrText xml:space="preserve"> NUMPAGES  </w:instrText>
        </w:r>
        <w:r w:rsidRPr="002B45CD">
          <w:rPr>
            <w:b/>
            <w:sz w:val="20"/>
            <w:szCs w:val="20"/>
          </w:rPr>
          <w:fldChar w:fldCharType="separate"/>
        </w:r>
        <w:r>
          <w:rPr>
            <w:b/>
            <w:sz w:val="20"/>
            <w:szCs w:val="20"/>
          </w:rPr>
          <w:t>12</w:t>
        </w:r>
        <w:r w:rsidRPr="002B45CD">
          <w:rPr>
            <w:b/>
            <w:sz w:val="20"/>
            <w:szCs w:val="20"/>
          </w:rPr>
          <w:fldChar w:fldCharType="end"/>
        </w:r>
      </w:p>
    </w:sdtContent>
  </w:sdt>
  <w:p w14:paraId="60C35464" w14:textId="77777777" w:rsidR="00A21AED" w:rsidRDefault="00A21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9459A"/>
    <w:multiLevelType w:val="hybridMultilevel"/>
    <w:tmpl w:val="9E8E147C"/>
    <w:lvl w:ilvl="0" w:tplc="31D64F96">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014D1E"/>
    <w:multiLevelType w:val="hybridMultilevel"/>
    <w:tmpl w:val="448C0062"/>
    <w:lvl w:ilvl="0" w:tplc="25BCF44A">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8005585">
    <w:abstractNumId w:val="0"/>
  </w:num>
  <w:num w:numId="2" w16cid:durableId="12576390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AED"/>
    <w:rsid w:val="00032AC2"/>
    <w:rsid w:val="0009238E"/>
    <w:rsid w:val="002611CA"/>
    <w:rsid w:val="002A1844"/>
    <w:rsid w:val="00374319"/>
    <w:rsid w:val="003F7BB4"/>
    <w:rsid w:val="004B64ED"/>
    <w:rsid w:val="00563FE9"/>
    <w:rsid w:val="00573103"/>
    <w:rsid w:val="005C1035"/>
    <w:rsid w:val="006806F9"/>
    <w:rsid w:val="00812F33"/>
    <w:rsid w:val="0083402D"/>
    <w:rsid w:val="00935D37"/>
    <w:rsid w:val="00961FA7"/>
    <w:rsid w:val="009B3B16"/>
    <w:rsid w:val="00A21AED"/>
    <w:rsid w:val="00AE3BDC"/>
    <w:rsid w:val="00C0639B"/>
    <w:rsid w:val="00C32196"/>
    <w:rsid w:val="00C50BB4"/>
    <w:rsid w:val="00C5430A"/>
    <w:rsid w:val="00C7141E"/>
    <w:rsid w:val="00C71D33"/>
    <w:rsid w:val="00CC7CAF"/>
    <w:rsid w:val="00D80F41"/>
    <w:rsid w:val="00E80778"/>
    <w:rsid w:val="00EC72A5"/>
    <w:rsid w:val="00F4630B"/>
    <w:rsid w:val="00F87E29"/>
    <w:rsid w:val="00FF2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E4C6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ind w:firstLine="720"/>
        <w:jc w:val="both"/>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A21AED"/>
    <w:pPr>
      <w:spacing w:after="120" w:line="36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Caption">
    <w:name w:val="Case Caption"/>
    <w:basedOn w:val="Normal"/>
    <w:next w:val="Normal"/>
    <w:link w:val="CaseCaptionChar"/>
    <w:qFormat/>
    <w:rsid w:val="00A21AED"/>
    <w:pPr>
      <w:keepNext/>
      <w:spacing w:after="240" w:line="240" w:lineRule="auto"/>
      <w:ind w:firstLine="0"/>
      <w:contextualSpacing/>
      <w:jc w:val="center"/>
    </w:pPr>
    <w:rPr>
      <w:b/>
      <w:caps/>
    </w:rPr>
  </w:style>
  <w:style w:type="character" w:customStyle="1" w:styleId="CaseCaptionChar">
    <w:name w:val="Case Caption Char"/>
    <w:link w:val="CaseCaption"/>
    <w:rsid w:val="00A21AED"/>
    <w:rPr>
      <w:rFonts w:ascii="Times New Roman" w:eastAsia="Times New Roman" w:hAnsi="Times New Roman" w:cs="Times New Roman"/>
      <w:b/>
      <w:caps/>
      <w:kern w:val="0"/>
      <w:sz w:val="24"/>
      <w:szCs w:val="24"/>
      <w14:ligatures w14:val="none"/>
    </w:rPr>
  </w:style>
  <w:style w:type="paragraph" w:customStyle="1" w:styleId="Paragraph">
    <w:name w:val="Paragraph"/>
    <w:basedOn w:val="Normal"/>
    <w:qFormat/>
    <w:rsid w:val="00A21AED"/>
    <w:pPr>
      <w:spacing w:after="0"/>
    </w:pPr>
  </w:style>
  <w:style w:type="paragraph" w:customStyle="1" w:styleId="Paragraphdouble">
    <w:name w:val="Paragraph double"/>
    <w:basedOn w:val="Paragraph"/>
    <w:rsid w:val="00A21AED"/>
    <w:pPr>
      <w:spacing w:line="480" w:lineRule="auto"/>
    </w:pPr>
  </w:style>
  <w:style w:type="paragraph" w:styleId="Header">
    <w:name w:val="header"/>
    <w:basedOn w:val="Normal"/>
    <w:link w:val="HeaderChar"/>
    <w:uiPriority w:val="99"/>
    <w:unhideWhenUsed/>
    <w:rsid w:val="00A21A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AED"/>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A21A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AED"/>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A21AED"/>
    <w:pPr>
      <w:ind w:left="720"/>
      <w:contextualSpacing/>
    </w:pPr>
  </w:style>
  <w:style w:type="paragraph" w:styleId="FootnoteText">
    <w:name w:val="footnote text"/>
    <w:basedOn w:val="Normal"/>
    <w:link w:val="FootnoteTextChar"/>
    <w:uiPriority w:val="99"/>
    <w:semiHidden/>
    <w:unhideWhenUsed/>
    <w:rsid w:val="002611C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11CA"/>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2611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DC96C07FCF4E6898DDBCD5E5CD65C4"/>
        <w:category>
          <w:name w:val="General"/>
          <w:gallery w:val="placeholder"/>
        </w:category>
        <w:types>
          <w:type w:val="bbPlcHdr"/>
        </w:types>
        <w:behaviors>
          <w:behavior w:val="content"/>
        </w:behaviors>
        <w:guid w:val="{F11FB605-1659-4621-8DFE-3A63D5F0F9F3}"/>
      </w:docPartPr>
      <w:docPartBody>
        <w:p w:rsidR="00A071F7" w:rsidRDefault="00A071F7" w:rsidP="00A071F7">
          <w:pPr>
            <w:pStyle w:val="C6DC96C07FCF4E6898DDBCD5E5CD65C4"/>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F7"/>
    <w:rsid w:val="00A071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71F7"/>
    <w:rPr>
      <w:color w:val="808080"/>
    </w:rPr>
  </w:style>
  <w:style w:type="paragraph" w:customStyle="1" w:styleId="C6DC96C07FCF4E6898DDBCD5E5CD65C4">
    <w:name w:val="C6DC96C07FCF4E6898DDBCD5E5CD65C4"/>
    <w:rsid w:val="00A071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7A895-9A63-43C2-AEA1-6FA49EEF7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1163</Words>
  <Characters>6634</Characters>
  <Application>Microsoft Office Word</Application>
  <DocSecurity>0</DocSecurity>
  <Lines>55</Lines>
  <Paragraphs>15</Paragraphs>
  <ScaleCrop>false</ScaleCrop>
  <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2024-07-02T18:19:00Z</dcterms:created>
  <dcterms:modified xsi:type="dcterms:W3CDTF">2024-07-02T18:24:00Z</dcterms:modified>
</cp:coreProperties>
</file>